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9A52" w14:textId="4A5D7C09" w:rsidR="000C2556" w:rsidRPr="005C17F5" w:rsidRDefault="000C2556" w:rsidP="00C6039B">
      <w:pPr>
        <w:spacing w:line="240" w:lineRule="auto"/>
        <w:rPr>
          <w:rStyle w:val="Strong"/>
          <w:rFonts w:eastAsia="Times New Roman" w:cs="Times New Roman"/>
          <w:color w:val="0F1B24"/>
          <w:sz w:val="32"/>
          <w:szCs w:val="32"/>
          <w:u w:val="single"/>
        </w:rPr>
      </w:pPr>
      <w:r w:rsidRPr="005C17F5">
        <w:rPr>
          <w:rStyle w:val="Strong"/>
          <w:rFonts w:eastAsia="Times New Roman" w:cs="Times New Roman"/>
          <w:color w:val="0F1B24"/>
          <w:sz w:val="32"/>
          <w:szCs w:val="32"/>
          <w:u w:val="single"/>
        </w:rPr>
        <w:t>Appeals</w:t>
      </w:r>
    </w:p>
    <w:p w14:paraId="01C15082" w14:textId="77777777" w:rsidR="005658AC" w:rsidRPr="00C6039B" w:rsidRDefault="005658AC" w:rsidP="00C6039B">
      <w:pPr>
        <w:spacing w:line="240" w:lineRule="auto"/>
        <w:rPr>
          <w:b/>
          <w:bCs/>
        </w:rPr>
      </w:pPr>
      <w:r w:rsidRPr="00C6039B">
        <w:rPr>
          <w:b/>
          <w:bCs/>
        </w:rPr>
        <w:t>ENAS commitment</w:t>
      </w:r>
    </w:p>
    <w:p w14:paraId="703A3E7A" w14:textId="77777777" w:rsidR="005658AC" w:rsidRPr="00C6039B" w:rsidRDefault="005658AC" w:rsidP="00C6039B">
      <w:pPr>
        <w:spacing w:line="240" w:lineRule="auto"/>
      </w:pPr>
      <w:r w:rsidRPr="00C6039B">
        <w:t>ENAS is committed to promote and sustain the quality culture in UAE, by providing added value services in accordance to international standards and maintaining a high standard of its services in dealing with its customers and stakeholders.</w:t>
      </w:r>
    </w:p>
    <w:p w14:paraId="20369CCF" w14:textId="4021E0C4" w:rsidR="005658AC" w:rsidRPr="00C6039B" w:rsidRDefault="005658AC" w:rsidP="00C6039B">
      <w:pPr>
        <w:spacing w:line="240" w:lineRule="auto"/>
      </w:pPr>
      <w:r w:rsidRPr="00C6039B">
        <w:t>ENAS however recognizes that it may be necessary for its customers and interested parties to appeal to any adverse decision ENAS has made related to its desired accreditation status.</w:t>
      </w:r>
    </w:p>
    <w:p w14:paraId="6A2A61FA" w14:textId="1ACAFDF4" w:rsidR="005658AC" w:rsidRPr="00C6039B" w:rsidRDefault="00D31668" w:rsidP="008E1712">
      <w:pPr>
        <w:spacing w:line="240" w:lineRule="auto"/>
      </w:pPr>
      <w:r w:rsidRPr="00C6039B">
        <w:t xml:space="preserve">ENAS ensures that the appeal </w:t>
      </w:r>
      <w:r w:rsidR="008E1712" w:rsidRPr="00C6039B">
        <w:t>handling</w:t>
      </w:r>
      <w:r w:rsidRPr="00C6039B">
        <w:t xml:space="preserve"> process and procedures </w:t>
      </w:r>
      <w:r w:rsidR="008E1712">
        <w:t>are</w:t>
      </w:r>
      <w:r w:rsidRPr="00C6039B">
        <w:t xml:space="preserve"> addressed in a timely manner and </w:t>
      </w:r>
      <w:r w:rsidR="005658AC" w:rsidRPr="00C6039B">
        <w:t>in accordance with those requirements defined in the international standard ISO/IEC 17011 “conformity assessment- General requirements for accreditation bodies accrediting conformity assessment bo</w:t>
      </w:r>
      <w:r w:rsidRPr="00C6039B">
        <w:t>dies” and ENAS procedure ACP 22.</w:t>
      </w:r>
    </w:p>
    <w:p w14:paraId="30C0DE6E" w14:textId="7C9522F1" w:rsidR="005658AC" w:rsidRDefault="000235D9" w:rsidP="00C6039B">
      <w:pPr>
        <w:spacing w:line="240" w:lineRule="auto"/>
        <w:rPr>
          <w:b/>
          <w:bCs/>
        </w:rPr>
      </w:pPr>
      <w:r>
        <w:rPr>
          <w:b/>
          <w:bCs/>
        </w:rPr>
        <w:t xml:space="preserve">ENAS Appeal </w:t>
      </w:r>
      <w:r w:rsidR="005658AC" w:rsidRPr="00C6039B">
        <w:rPr>
          <w:b/>
          <w:bCs/>
        </w:rPr>
        <w:t>Process</w:t>
      </w:r>
    </w:p>
    <w:p w14:paraId="006A73C9" w14:textId="73A39EE7" w:rsidR="000E41CE" w:rsidRPr="000E41CE" w:rsidRDefault="000E41CE" w:rsidP="000E41CE">
      <w:pPr>
        <w:spacing w:line="240" w:lineRule="auto"/>
      </w:pPr>
      <w:r w:rsidRPr="00C6039B">
        <w:t xml:space="preserve">Only applicant </w:t>
      </w:r>
      <w:r>
        <w:t>or accredited</w:t>
      </w:r>
      <w:r w:rsidRPr="00C6039B">
        <w:t xml:space="preserve"> conformity assessment body can initiate an appeal</w:t>
      </w:r>
      <w:r>
        <w:t>.</w:t>
      </w:r>
    </w:p>
    <w:p w14:paraId="7A8916F9" w14:textId="2452B0D1" w:rsidR="007D51BC" w:rsidRPr="00C6039B" w:rsidRDefault="001149D9" w:rsidP="00C6039B">
      <w:pPr>
        <w:spacing w:line="240" w:lineRule="auto"/>
      </w:pPr>
      <w:r w:rsidRPr="00C6039B">
        <w:t xml:space="preserve">An applicant or accredited body may formally request ENAS to reconsider any </w:t>
      </w:r>
      <w:r w:rsidR="00D505DA" w:rsidRPr="00C6039B">
        <w:t>adverse decision</w:t>
      </w:r>
      <w:r w:rsidR="002D6DBB" w:rsidRPr="00C6039B">
        <w:t xml:space="preserve"> </w:t>
      </w:r>
      <w:r w:rsidRPr="00C6039B">
        <w:t xml:space="preserve">made related </w:t>
      </w:r>
      <w:r w:rsidR="00D505DA" w:rsidRPr="00C6039B">
        <w:t>to the</w:t>
      </w:r>
      <w:r w:rsidRPr="00C6039B">
        <w:t xml:space="preserve"> desired accreditation status by </w:t>
      </w:r>
      <w:r w:rsidR="00D505DA" w:rsidRPr="00C6039B">
        <w:t>submitting an appeal in writing to ENAS within (15) days of the date of the official notification of the decision.</w:t>
      </w:r>
    </w:p>
    <w:p w14:paraId="6A25BF99" w14:textId="29AFCA1A" w:rsidR="00C6039B" w:rsidRPr="00C6039B" w:rsidRDefault="00C6039B" w:rsidP="00E30C40">
      <w:pPr>
        <w:spacing w:line="240" w:lineRule="auto"/>
      </w:pPr>
      <w:r w:rsidRPr="00C6039B">
        <w:t xml:space="preserve">If the Appellant prefers to talk to someone to seek further guidance before submitting the appeal, please contact </w:t>
      </w:r>
      <w:r w:rsidR="00E30C40">
        <w:t>the concerned ENAS Program Manager.</w:t>
      </w:r>
    </w:p>
    <w:p w14:paraId="72A4C3BC" w14:textId="78A2FCE7" w:rsidR="000E41CE" w:rsidRPr="00C6039B" w:rsidRDefault="00C6039B" w:rsidP="00E30C40">
      <w:pPr>
        <w:spacing w:after="120" w:line="240" w:lineRule="auto"/>
        <w:jc w:val="both"/>
      </w:pPr>
      <w:r w:rsidRPr="00C6039B">
        <w:t>Appeals can be submitted by filling the form (</w:t>
      </w:r>
      <w:r w:rsidRPr="00E30C40">
        <w:rPr>
          <w:rFonts w:cstheme="minorHAnsi"/>
          <w:highlight w:val="yellow"/>
          <w:u w:val="single"/>
        </w:rPr>
        <w:t>ACF 22</w:t>
      </w:r>
      <w:r w:rsidR="000E41CE" w:rsidRPr="00E30C40">
        <w:rPr>
          <w:rFonts w:cstheme="minorHAnsi"/>
          <w:highlight w:val="yellow"/>
          <w:u w:val="single"/>
        </w:rPr>
        <w:t>-01</w:t>
      </w:r>
      <w:r w:rsidR="000E41CE">
        <w:rPr>
          <w:rFonts w:cstheme="minorHAnsi"/>
          <w:u w:val="single"/>
        </w:rPr>
        <w:t>)</w:t>
      </w:r>
      <w:r w:rsidR="000E41CE" w:rsidRPr="00E30C40">
        <w:rPr>
          <w:rFonts w:cstheme="minorHAnsi"/>
        </w:rPr>
        <w:t xml:space="preserve"> </w:t>
      </w:r>
      <w:r w:rsidRPr="00C6039B">
        <w:t>and forwarding it to the</w:t>
      </w:r>
      <w:r w:rsidR="0092489F">
        <w:rPr>
          <w:rFonts w:hint="cs"/>
          <w:rtl/>
        </w:rPr>
        <w:t xml:space="preserve"> </w:t>
      </w:r>
      <w:r w:rsidR="0092489F">
        <w:t>concerned ENAS Program Manager and</w:t>
      </w:r>
      <w:r w:rsidRPr="00C6039B">
        <w:t xml:space="preserve"> </w:t>
      </w:r>
      <w:r w:rsidR="00E30C40">
        <w:t>ENAS email (</w:t>
      </w:r>
      <w:hyperlink r:id="rId7" w:history="1">
        <w:r w:rsidR="00E30C40" w:rsidRPr="00924E94">
          <w:rPr>
            <w:rStyle w:val="Hyperlink"/>
          </w:rPr>
          <w:t>ENAS@moiat.gov.ae</w:t>
        </w:r>
      </w:hyperlink>
      <w:r w:rsidR="00E30C40">
        <w:t xml:space="preserve">) </w:t>
      </w:r>
    </w:p>
    <w:p w14:paraId="6B48B00E" w14:textId="77777777" w:rsidR="00E30C40" w:rsidRDefault="00E30C40" w:rsidP="00C6039B">
      <w:pPr>
        <w:spacing w:line="240" w:lineRule="auto"/>
        <w:rPr>
          <w:b/>
          <w:bCs/>
        </w:rPr>
      </w:pPr>
    </w:p>
    <w:p w14:paraId="784350D4" w14:textId="4605E5AB" w:rsidR="007D51BC" w:rsidRPr="00C6039B" w:rsidRDefault="002D6DBB" w:rsidP="00C6039B">
      <w:pPr>
        <w:spacing w:line="240" w:lineRule="auto"/>
        <w:rPr>
          <w:b/>
          <w:bCs/>
        </w:rPr>
      </w:pPr>
      <w:r w:rsidRPr="00C6039B">
        <w:rPr>
          <w:b/>
          <w:bCs/>
        </w:rPr>
        <w:t>ENAS accepts appeals related to:</w:t>
      </w:r>
    </w:p>
    <w:p w14:paraId="4980D751" w14:textId="1B76B587" w:rsidR="007D51BC" w:rsidRPr="00C6039B" w:rsidRDefault="007D51BC" w:rsidP="00C6039B">
      <w:pPr>
        <w:pStyle w:val="ListParagraph"/>
        <w:numPr>
          <w:ilvl w:val="0"/>
          <w:numId w:val="3"/>
        </w:numPr>
        <w:spacing w:line="240" w:lineRule="auto"/>
      </w:pPr>
      <w:r w:rsidRPr="00C6039B">
        <w:t>Refusal to accept an application</w:t>
      </w:r>
      <w:r w:rsidR="005658AC" w:rsidRPr="00C6039B">
        <w:t>;</w:t>
      </w:r>
    </w:p>
    <w:p w14:paraId="6ED11378" w14:textId="0FB5F865" w:rsidR="007D51BC" w:rsidRPr="00C6039B" w:rsidRDefault="007D51BC" w:rsidP="00C6039B">
      <w:pPr>
        <w:pStyle w:val="ListParagraph"/>
        <w:numPr>
          <w:ilvl w:val="0"/>
          <w:numId w:val="3"/>
        </w:numPr>
        <w:spacing w:line="240" w:lineRule="auto"/>
      </w:pPr>
      <w:r w:rsidRPr="00C6039B">
        <w:t>Refusal to proceed with an assessment</w:t>
      </w:r>
      <w:r w:rsidR="005658AC" w:rsidRPr="00C6039B">
        <w:t>;</w:t>
      </w:r>
    </w:p>
    <w:p w14:paraId="65E4C2A6" w14:textId="43221CE7" w:rsidR="007D51BC" w:rsidRPr="00C6039B" w:rsidRDefault="007D51BC" w:rsidP="00C6039B">
      <w:pPr>
        <w:pStyle w:val="ListParagraph"/>
        <w:numPr>
          <w:ilvl w:val="0"/>
          <w:numId w:val="3"/>
        </w:numPr>
        <w:spacing w:line="240" w:lineRule="auto"/>
      </w:pPr>
      <w:r w:rsidRPr="00C6039B">
        <w:t>Corrective action requests</w:t>
      </w:r>
      <w:r w:rsidR="005658AC" w:rsidRPr="00C6039B">
        <w:t>;</w:t>
      </w:r>
    </w:p>
    <w:p w14:paraId="140C556A" w14:textId="6D5AB1FF" w:rsidR="007D51BC" w:rsidRPr="00C6039B" w:rsidRDefault="007D51BC" w:rsidP="00C6039B">
      <w:pPr>
        <w:pStyle w:val="ListParagraph"/>
        <w:numPr>
          <w:ilvl w:val="0"/>
          <w:numId w:val="3"/>
        </w:numPr>
        <w:spacing w:line="240" w:lineRule="auto"/>
      </w:pPr>
      <w:r w:rsidRPr="00C6039B">
        <w:t>Changes to accredited scope</w:t>
      </w:r>
      <w:r w:rsidR="005658AC" w:rsidRPr="00C6039B">
        <w:t>;</w:t>
      </w:r>
    </w:p>
    <w:p w14:paraId="3201425A" w14:textId="4CF75A72" w:rsidR="007D51BC" w:rsidRPr="00C6039B" w:rsidRDefault="007D51BC" w:rsidP="00C6039B">
      <w:pPr>
        <w:pStyle w:val="ListParagraph"/>
        <w:numPr>
          <w:ilvl w:val="0"/>
          <w:numId w:val="3"/>
        </w:numPr>
        <w:spacing w:line="240" w:lineRule="auto"/>
      </w:pPr>
      <w:r w:rsidRPr="00C6039B">
        <w:t xml:space="preserve">Decisions to </w:t>
      </w:r>
      <w:r w:rsidR="005658AC" w:rsidRPr="00C6039B">
        <w:t xml:space="preserve">deny, </w:t>
      </w:r>
      <w:r w:rsidRPr="00C6039B">
        <w:t>suspend or withdraw accreditation</w:t>
      </w:r>
      <w:r w:rsidR="005658AC" w:rsidRPr="00C6039B">
        <w:t>, and</w:t>
      </w:r>
    </w:p>
    <w:p w14:paraId="4A7571B8" w14:textId="163EC2AF" w:rsidR="007D51BC" w:rsidRDefault="007D51BC" w:rsidP="00C6039B">
      <w:pPr>
        <w:pStyle w:val="ListParagraph"/>
        <w:numPr>
          <w:ilvl w:val="0"/>
          <w:numId w:val="3"/>
        </w:numPr>
        <w:spacing w:line="240" w:lineRule="auto"/>
      </w:pPr>
      <w:r w:rsidRPr="00C6039B">
        <w:t xml:space="preserve">Any other action that </w:t>
      </w:r>
      <w:r w:rsidR="001149D9" w:rsidRPr="00C6039B">
        <w:t>hinders</w:t>
      </w:r>
      <w:r w:rsidRPr="00C6039B">
        <w:t xml:space="preserve"> the </w:t>
      </w:r>
      <w:r w:rsidR="001149D9" w:rsidRPr="00C6039B">
        <w:t>completion</w:t>
      </w:r>
      <w:r w:rsidRPr="00C6039B">
        <w:t xml:space="preserve"> of accreditation</w:t>
      </w:r>
      <w:r w:rsidR="002D6DBB" w:rsidRPr="00C6039B">
        <w:t>.</w:t>
      </w:r>
    </w:p>
    <w:p w14:paraId="1C50E42D" w14:textId="05903352" w:rsidR="005658AC" w:rsidRPr="00C6039B" w:rsidRDefault="005658AC" w:rsidP="00C6039B">
      <w:pPr>
        <w:spacing w:line="240" w:lineRule="auto"/>
        <w:rPr>
          <w:b/>
          <w:bCs/>
        </w:rPr>
      </w:pPr>
      <w:r w:rsidRPr="00C6039B">
        <w:rPr>
          <w:b/>
          <w:bCs/>
        </w:rPr>
        <w:t>Duration:</w:t>
      </w:r>
    </w:p>
    <w:p w14:paraId="080D8D69" w14:textId="25591F38" w:rsidR="005658AC" w:rsidRPr="00C6039B" w:rsidRDefault="005658AC" w:rsidP="00E30C40">
      <w:pPr>
        <w:spacing w:after="0" w:line="240" w:lineRule="auto"/>
      </w:pPr>
      <w:r w:rsidRPr="00C6039B">
        <w:t>ENAS to acknowledge the receipt of the appeal within 2 working days.</w:t>
      </w:r>
    </w:p>
    <w:p w14:paraId="5828EF5C" w14:textId="3D3CF609" w:rsidR="000E41CE" w:rsidRPr="00741A28" w:rsidRDefault="005658AC" w:rsidP="00E30C40">
      <w:pPr>
        <w:spacing w:after="0" w:line="240" w:lineRule="auto"/>
      </w:pPr>
      <w:r w:rsidRPr="00C6039B">
        <w:t>Decision on Appeals shall be achieved within (30) days from the receipt of it.</w:t>
      </w:r>
    </w:p>
    <w:p w14:paraId="4C8207C9" w14:textId="77777777" w:rsidR="00741A28" w:rsidRDefault="00741A28" w:rsidP="00C6039B">
      <w:pPr>
        <w:spacing w:line="240" w:lineRule="auto"/>
        <w:rPr>
          <w:b/>
          <w:bCs/>
          <w:u w:val="single"/>
        </w:rPr>
      </w:pPr>
    </w:p>
    <w:p w14:paraId="65A6AB4D" w14:textId="55237666" w:rsidR="000E41CE" w:rsidRDefault="005075BB" w:rsidP="00C6039B">
      <w:pPr>
        <w:spacing w:line="240" w:lineRule="auto"/>
      </w:pPr>
      <w:r w:rsidRPr="000E41CE">
        <w:rPr>
          <w:b/>
          <w:bCs/>
          <w:u w:val="single"/>
        </w:rPr>
        <w:t>Note</w:t>
      </w:r>
      <w:r w:rsidR="000E41CE" w:rsidRPr="000E41CE">
        <w:rPr>
          <w:b/>
          <w:bCs/>
          <w:u w:val="single"/>
        </w:rPr>
        <w:t>s</w:t>
      </w:r>
      <w:r w:rsidRPr="00C6039B">
        <w:t xml:space="preserve">: </w:t>
      </w:r>
    </w:p>
    <w:p w14:paraId="2D044844" w14:textId="77777777" w:rsidR="00741A28" w:rsidRPr="0092489F" w:rsidRDefault="00514F31" w:rsidP="0092489F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92489F">
        <w:rPr>
          <w:sz w:val="24"/>
          <w:szCs w:val="24"/>
        </w:rPr>
        <w:t>The</w:t>
      </w:r>
      <w:r w:rsidR="005075BB" w:rsidRPr="0092489F">
        <w:rPr>
          <w:sz w:val="24"/>
          <w:szCs w:val="24"/>
        </w:rPr>
        <w:t xml:space="preserve"> </w:t>
      </w:r>
      <w:r w:rsidRPr="0092489F">
        <w:rPr>
          <w:sz w:val="24"/>
          <w:szCs w:val="24"/>
        </w:rPr>
        <w:t>d</w:t>
      </w:r>
      <w:r w:rsidR="005075BB" w:rsidRPr="0092489F">
        <w:rPr>
          <w:sz w:val="24"/>
          <w:szCs w:val="24"/>
        </w:rPr>
        <w:t xml:space="preserve">ecision rendered by the Appeals </w:t>
      </w:r>
      <w:r w:rsidRPr="0092489F">
        <w:rPr>
          <w:sz w:val="24"/>
          <w:szCs w:val="24"/>
        </w:rPr>
        <w:t>C</w:t>
      </w:r>
      <w:r w:rsidR="005075BB" w:rsidRPr="0092489F">
        <w:rPr>
          <w:sz w:val="24"/>
          <w:szCs w:val="24"/>
        </w:rPr>
        <w:t>ommittee is final and binding</w:t>
      </w:r>
      <w:r w:rsidR="005658AC" w:rsidRPr="0092489F">
        <w:rPr>
          <w:sz w:val="24"/>
          <w:szCs w:val="24"/>
        </w:rPr>
        <w:t>.</w:t>
      </w:r>
    </w:p>
    <w:p w14:paraId="104C2F9C" w14:textId="1AAA3EB9" w:rsidR="00741A28" w:rsidRPr="0092489F" w:rsidRDefault="00741A28" w:rsidP="0092489F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92489F">
        <w:rPr>
          <w:rFonts w:cstheme="minorHAnsi"/>
          <w:sz w:val="28"/>
          <w:szCs w:val="28"/>
        </w:rPr>
        <w:t xml:space="preserve">The appellant may withdraw </w:t>
      </w:r>
      <w:r w:rsidRPr="0092489F">
        <w:rPr>
          <w:sz w:val="24"/>
          <w:szCs w:val="24"/>
        </w:rPr>
        <w:t>the appeal at any time during the process. If for any reason an appeal is withdrawn, ENAS will not accept a future appeal on the same grounds.</w:t>
      </w:r>
    </w:p>
    <w:p w14:paraId="520E7420" w14:textId="77777777" w:rsidR="00494007" w:rsidRDefault="00494007" w:rsidP="00494007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</w:p>
    <w:p w14:paraId="41A05BFD" w14:textId="1A9E9D8A" w:rsidR="00700FFE" w:rsidRPr="00700FFE" w:rsidRDefault="00700FFE" w:rsidP="00494007">
      <w:pPr>
        <w:pBdr>
          <w:bottom w:val="single" w:sz="4" w:space="1" w:color="auto"/>
        </w:pBd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AE"/>
        </w:rPr>
      </w:pPr>
      <w:r w:rsidRPr="00700FFE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lastRenderedPageBreak/>
        <w:t>التظلم</w:t>
      </w:r>
    </w:p>
    <w:p w14:paraId="3FF5DD8A" w14:textId="3685E0C2" w:rsidR="00700FFE" w:rsidRPr="00700FFE" w:rsidRDefault="00700FFE" w:rsidP="004B2F92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222222"/>
          <w:sz w:val="28"/>
          <w:szCs w:val="28"/>
          <w:lang w:bidi="ar"/>
        </w:rPr>
      </w:pPr>
      <w:r w:rsidRPr="00700FFE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 xml:space="preserve">التزام </w:t>
      </w: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</w:rPr>
        <w:t xml:space="preserve">نظام الاعتماد الوطني الإماراتي </w:t>
      </w:r>
      <w:r>
        <w:rPr>
          <w:rFonts w:ascii="Sakkal Majalla" w:hAnsi="Sakkal Majalla" w:cs="Sakkal Majalla"/>
          <w:b/>
          <w:bCs/>
          <w:color w:val="222222"/>
          <w:sz w:val="28"/>
          <w:szCs w:val="28"/>
        </w:rPr>
        <w:t>ENAS</w:t>
      </w:r>
    </w:p>
    <w:p w14:paraId="0F4A55E2" w14:textId="65503D6D" w:rsidR="00700FFE" w:rsidRPr="004B2F92" w:rsidRDefault="00700FFE" w:rsidP="004B2F92">
      <w:pPr>
        <w:bidi/>
        <w:spacing w:after="0" w:line="240" w:lineRule="auto"/>
        <w:jc w:val="both"/>
        <w:rPr>
          <w:rFonts w:ascii="Sakkal Majalla" w:hAnsi="Sakkal Majalla" w:cs="Sakkal Majalla"/>
          <w:color w:val="222222"/>
          <w:sz w:val="28"/>
          <w:szCs w:val="28"/>
          <w:rtl/>
        </w:rPr>
      </w:pPr>
      <w:r>
        <w:rPr>
          <w:rFonts w:ascii="Sakkal Majalla" w:hAnsi="Sakkal Majalla" w:cs="Sakkal Majalla" w:hint="cs"/>
          <w:color w:val="222222"/>
          <w:sz w:val="28"/>
          <w:szCs w:val="28"/>
          <w:rtl/>
          <w:lang w:bidi="ar-AE"/>
        </w:rPr>
        <w:t xml:space="preserve">يلتزم نظام الاعتماد الوطني الإماراتي 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t xml:space="preserve">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بتعزيز والحفاظ على ثقافة الجودة في </w:t>
      </w:r>
      <w:r>
        <w:rPr>
          <w:rFonts w:ascii="Sakkal Majalla" w:hAnsi="Sakkal Majalla" w:cs="Sakkal Majalla" w:hint="cs"/>
          <w:color w:val="222222"/>
          <w:sz w:val="28"/>
          <w:szCs w:val="28"/>
          <w:rtl/>
        </w:rPr>
        <w:t xml:space="preserve">الدولة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من خلال تقديم خدمات ذات قيمة مضافة وفقًا للمواصفات الدولية والحفاظ على مستوى عالٍ من خدماتها في التعامل مع عملائها وأصحاب المصلحة المشتركة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  <w:lang w:bidi="ar"/>
        </w:rPr>
        <w:t>.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br/>
      </w:r>
      <w:r w:rsidRPr="00494007">
        <w:rPr>
          <w:rFonts w:ascii="Sakkal Majalla" w:hAnsi="Sakkal Majalla" w:cs="Sakkal Majalla"/>
          <w:color w:val="222222"/>
          <w:sz w:val="14"/>
          <w:szCs w:val="14"/>
          <w:lang w:bidi="ar"/>
        </w:rPr>
        <w:br/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تقر ايناس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t xml:space="preserve">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أنه قد يكون من الضروري لعملائها والأطراف المعنية الطعن في أي قرار معاكس قامت به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t xml:space="preserve">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ايناس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t xml:space="preserve">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فيما يتعلق بحالة الاعتماد.</w:t>
      </w:r>
    </w:p>
    <w:p w14:paraId="31CD768D" w14:textId="1B29D3C5" w:rsidR="00700FFE" w:rsidRPr="00700FFE" w:rsidRDefault="00700FFE" w:rsidP="004B2F92">
      <w:pPr>
        <w:bidi/>
        <w:spacing w:after="0" w:line="240" w:lineRule="auto"/>
        <w:rPr>
          <w:rFonts w:ascii="Sakkal Majalla" w:hAnsi="Sakkal Majalla" w:cs="Sakkal Majalla"/>
          <w:color w:val="222222"/>
          <w:sz w:val="28"/>
          <w:szCs w:val="28"/>
          <w:rtl/>
        </w:rPr>
      </w:pPr>
      <w:r w:rsidRPr="00494007">
        <w:rPr>
          <w:rFonts w:ascii="Sakkal Majalla" w:hAnsi="Sakkal Majalla" w:cs="Sakkal Majalla"/>
          <w:color w:val="222222"/>
          <w:sz w:val="8"/>
          <w:szCs w:val="8"/>
        </w:rPr>
        <w:br/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تضمن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t xml:space="preserve">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ايناس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t xml:space="preserve">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معالجة طلبات التظلم في الوقت المناسب ووفقًا للمتطلبات المحددة في المواصفة القياسية الدولية</w:t>
      </w:r>
    </w:p>
    <w:p w14:paraId="3249C296" w14:textId="77777777" w:rsidR="00700FFE" w:rsidRPr="00700FFE" w:rsidRDefault="00700FFE" w:rsidP="004B2F92">
      <w:pPr>
        <w:bidi/>
        <w:spacing w:after="0" w:line="240" w:lineRule="auto"/>
        <w:rPr>
          <w:rFonts w:ascii="Sakkal Majalla" w:hAnsi="Sakkal Majalla" w:cs="Sakkal Majalla"/>
          <w:color w:val="222222"/>
          <w:sz w:val="28"/>
          <w:szCs w:val="28"/>
        </w:rPr>
      </w:pPr>
      <w:r w:rsidRPr="00700FFE">
        <w:rPr>
          <w:rFonts w:ascii="Sakkal Majalla" w:hAnsi="Sakkal Majalla" w:cs="Sakkal Majalla"/>
          <w:color w:val="222222"/>
          <w:sz w:val="28"/>
          <w:szCs w:val="28"/>
        </w:rPr>
        <w:t xml:space="preserve"> ISO / IEC 17011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"تقييم المطابقة - المتطلبات العامة لهيئات الاعتماد المعتمدة لهيئات تقييم المطابقة" واجراء نظام الجودة رقم 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t>ACP 22</w:t>
      </w:r>
    </w:p>
    <w:p w14:paraId="52BAB348" w14:textId="77777777" w:rsidR="00700FFE" w:rsidRPr="0092489F" w:rsidRDefault="00700FFE" w:rsidP="0092489F">
      <w:pPr>
        <w:bidi/>
        <w:spacing w:after="0" w:line="240" w:lineRule="auto"/>
        <w:ind w:firstLine="720"/>
        <w:rPr>
          <w:rFonts w:ascii="Sakkal Majalla" w:hAnsi="Sakkal Majalla" w:cs="Sakkal Majalla"/>
          <w:b/>
          <w:bCs/>
          <w:color w:val="222222"/>
          <w:sz w:val="16"/>
          <w:szCs w:val="16"/>
          <w:lang w:bidi="ar-AE"/>
        </w:rPr>
      </w:pPr>
    </w:p>
    <w:p w14:paraId="5F7CB33C" w14:textId="2831852C" w:rsidR="00700FFE" w:rsidRPr="00700FFE" w:rsidRDefault="00494007" w:rsidP="004B2F92">
      <w:pPr>
        <w:bidi/>
        <w:spacing w:after="0" w:line="240" w:lineRule="auto"/>
        <w:rPr>
          <w:rFonts w:ascii="Sakkal Majalla" w:hAnsi="Sakkal Majalla" w:cs="Sakkal Majalla"/>
          <w:b/>
          <w:bCs/>
          <w:color w:val="222222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b/>
          <w:bCs/>
          <w:color w:val="222222"/>
          <w:sz w:val="28"/>
          <w:szCs w:val="28"/>
          <w:rtl/>
          <w:lang w:bidi="ar-AE"/>
        </w:rPr>
        <w:t>اجراء</w:t>
      </w:r>
      <w:r w:rsidR="00700FFE" w:rsidRPr="00700FFE">
        <w:rPr>
          <w:rFonts w:ascii="Sakkal Majalla" w:hAnsi="Sakkal Majalla" w:cs="Sakkal Majalla"/>
          <w:b/>
          <w:bCs/>
          <w:color w:val="222222"/>
          <w:sz w:val="28"/>
          <w:szCs w:val="28"/>
          <w:rtl/>
        </w:rPr>
        <w:t xml:space="preserve"> تقديم ال</w:t>
      </w:r>
      <w:r w:rsidR="00700FFE" w:rsidRPr="00700FFE">
        <w:rPr>
          <w:rFonts w:ascii="Sakkal Majalla" w:hAnsi="Sakkal Majalla" w:cs="Sakkal Majalla"/>
          <w:b/>
          <w:bCs/>
          <w:color w:val="222222"/>
          <w:sz w:val="28"/>
          <w:szCs w:val="28"/>
          <w:rtl/>
          <w:lang w:bidi="ar-AE"/>
        </w:rPr>
        <w:t>تظلم</w:t>
      </w:r>
    </w:p>
    <w:p w14:paraId="4DF4FC15" w14:textId="3DA555CA" w:rsidR="00700FFE" w:rsidRPr="00700FFE" w:rsidRDefault="00700FFE" w:rsidP="004B2F92">
      <w:pPr>
        <w:bidi/>
        <w:spacing w:after="0" w:line="240" w:lineRule="auto"/>
        <w:rPr>
          <w:rFonts w:ascii="Sakkal Majalla" w:hAnsi="Sakkal Majalla" w:cs="Sakkal Majalla"/>
          <w:color w:val="222222"/>
          <w:sz w:val="28"/>
          <w:szCs w:val="28"/>
          <w:rtl/>
        </w:rPr>
      </w:pP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يمكن فقط للهيئة المتقدمة بطلب الاعتماد اوجهة تقييم المطابقة المعتمدة ان تبدأ عملية </w:t>
      </w:r>
      <w:r w:rsidR="004B2F92">
        <w:rPr>
          <w:rFonts w:ascii="Sakkal Majalla" w:hAnsi="Sakkal Majalla" w:cs="Sakkal Majalla" w:hint="cs"/>
          <w:color w:val="222222"/>
          <w:sz w:val="28"/>
          <w:szCs w:val="28"/>
          <w:rtl/>
          <w:lang w:bidi="ar-AE"/>
        </w:rPr>
        <w:t>التظلم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.</w:t>
      </w:r>
    </w:p>
    <w:p w14:paraId="4A779210" w14:textId="4B7A6223" w:rsidR="00700FFE" w:rsidRPr="00700FFE" w:rsidRDefault="00700FFE" w:rsidP="004B2F92">
      <w:pPr>
        <w:bidi/>
        <w:spacing w:after="0" w:line="240" w:lineRule="auto"/>
        <w:rPr>
          <w:rFonts w:ascii="Sakkal Majalla" w:hAnsi="Sakkal Majalla" w:cs="Sakkal Majalla"/>
          <w:color w:val="222222"/>
          <w:sz w:val="28"/>
          <w:szCs w:val="28"/>
          <w:rtl/>
        </w:rPr>
      </w:pP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قد يطلب مقدم طلب الاعتماد أو الجهة </w:t>
      </w:r>
      <w:r w:rsidR="004B2F92">
        <w:rPr>
          <w:rFonts w:ascii="Sakkal Majalla" w:hAnsi="Sakkal Majalla" w:cs="Sakkal Majalla"/>
          <w:color w:val="222222"/>
          <w:sz w:val="28"/>
          <w:szCs w:val="28"/>
          <w:rtl/>
        </w:rPr>
        <w:t xml:space="preserve">المعتمَدة رسمياً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إعادة النظر في أي قرار معاكس يتعلق بحالة الاعتماد وذلك عن طريق تقديم </w:t>
      </w:r>
      <w:r w:rsidR="004B2F92">
        <w:rPr>
          <w:rFonts w:ascii="Sakkal Majalla" w:hAnsi="Sakkal Majalla" w:cs="Sakkal Majalla" w:hint="cs"/>
          <w:color w:val="222222"/>
          <w:sz w:val="28"/>
          <w:szCs w:val="28"/>
          <w:rtl/>
        </w:rPr>
        <w:t>طلب التظلم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 في غضون (15) يومًا من تاريخ الإخطار الرسمي بالقرار.</w:t>
      </w:r>
    </w:p>
    <w:p w14:paraId="5FCCFA70" w14:textId="3F8230B7" w:rsidR="004B2F92" w:rsidRPr="00042169" w:rsidRDefault="00700FFE" w:rsidP="004B2F92">
      <w:pPr>
        <w:bidi/>
        <w:spacing w:line="240" w:lineRule="auto"/>
        <w:rPr>
          <w:rFonts w:ascii="Sakkal Majalla" w:hAnsi="Sakkal Majalla" w:cs="Sakkal Majalla"/>
          <w:color w:val="222222"/>
          <w:sz w:val="28"/>
          <w:szCs w:val="28"/>
          <w:rtl/>
          <w:lang w:bidi="ar-AE"/>
        </w:rPr>
      </w:pPr>
      <w:r w:rsidRPr="00700FFE">
        <w:rPr>
          <w:rFonts w:ascii="Sakkal Majalla" w:hAnsi="Sakkal Majalla" w:cs="Sakkal Majalla"/>
          <w:color w:val="222222"/>
          <w:sz w:val="28"/>
          <w:szCs w:val="28"/>
          <w:rtl/>
          <w:lang w:bidi="ar"/>
        </w:rPr>
        <w:br/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إذا رغب صاحب التظلم التحدث إلى شخص ما للحصول على مزيد من التوجيه قبل تقديم الطعن، فيرجى الاتصال </w:t>
      </w:r>
      <w:r w:rsidR="004B2F92">
        <w:rPr>
          <w:rFonts w:ascii="Sakkal Majalla" w:hAnsi="Sakkal Majalla" w:cs="Sakkal Majalla" w:hint="cs"/>
          <w:color w:val="222222"/>
          <w:sz w:val="28"/>
          <w:szCs w:val="28"/>
          <w:rtl/>
        </w:rPr>
        <w:t>با</w:t>
      </w:r>
      <w:r w:rsidR="004B2F92">
        <w:rPr>
          <w:rFonts w:ascii="Sakkal Majalla" w:hAnsi="Sakkal Majalla" w:cs="Sakkal Majalla" w:hint="cs"/>
          <w:color w:val="222222"/>
          <w:sz w:val="28"/>
          <w:szCs w:val="28"/>
          <w:rtl/>
        </w:rPr>
        <w:t xml:space="preserve">لموظف المعني من إدارة الاعتماد وعلى البريد الإلكتروني </w:t>
      </w:r>
      <w:r w:rsidR="004B2F92">
        <w:rPr>
          <w:rFonts w:ascii="Sakkal Majalla" w:hAnsi="Sakkal Majalla" w:cs="Sakkal Majalla"/>
          <w:color w:val="222222"/>
          <w:sz w:val="28"/>
          <w:szCs w:val="28"/>
        </w:rPr>
        <w:t>(ENAS@moiat.gov.ae)</w:t>
      </w:r>
      <w:r w:rsidR="004B2F92">
        <w:rPr>
          <w:rFonts w:ascii="Sakkal Majalla" w:hAnsi="Sakkal Majalla" w:cs="Sakkal Majalla" w:hint="cs"/>
          <w:color w:val="222222"/>
          <w:sz w:val="28"/>
          <w:szCs w:val="28"/>
          <w:rtl/>
          <w:lang w:bidi="ar-AE"/>
        </w:rPr>
        <w:t>.</w:t>
      </w:r>
    </w:p>
    <w:p w14:paraId="5E650C78" w14:textId="06305328" w:rsidR="00700FFE" w:rsidRPr="00700FFE" w:rsidRDefault="00700FFE" w:rsidP="004B2F92">
      <w:pPr>
        <w:bidi/>
        <w:spacing w:after="0" w:line="240" w:lineRule="auto"/>
        <w:rPr>
          <w:rFonts w:ascii="Sakkal Majalla" w:hAnsi="Sakkal Majalla" w:cs="Sakkal Majalla"/>
          <w:color w:val="222222"/>
          <w:sz w:val="28"/>
          <w:szCs w:val="28"/>
        </w:rPr>
      </w:pPr>
      <w:r w:rsidRPr="0092489F">
        <w:rPr>
          <w:rFonts w:ascii="Sakkal Majalla" w:eastAsia="Times New Roman" w:hAnsi="Sakkal Majalla" w:cs="Sakkal Majalla"/>
          <w:color w:val="222222"/>
          <w:sz w:val="12"/>
          <w:szCs w:val="12"/>
          <w:rtl/>
          <w:lang w:bidi="ar"/>
        </w:rPr>
        <w:br/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يمكن تقديم التظلم من خلال </w:t>
      </w:r>
      <w:r w:rsidR="004B2F92">
        <w:rPr>
          <w:rFonts w:ascii="Sakkal Majalla" w:hAnsi="Sakkal Majalla" w:cs="Sakkal Majalla" w:hint="cs"/>
          <w:color w:val="222222"/>
          <w:sz w:val="28"/>
          <w:szCs w:val="28"/>
          <w:rtl/>
        </w:rPr>
        <w:t>تعبأة النموذج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 </w:t>
      </w:r>
      <w:r w:rsidRPr="0092489F">
        <w:rPr>
          <w:rFonts w:ascii="Sakkal Majalla" w:hAnsi="Sakkal Majalla" w:cs="Sakkal Majalla"/>
          <w:color w:val="222222"/>
          <w:sz w:val="28"/>
          <w:szCs w:val="28"/>
          <w:highlight w:val="yellow"/>
        </w:rPr>
        <w:t>(ACF 22-01</w:t>
      </w:r>
      <w:bookmarkStart w:id="0" w:name="_GoBack"/>
      <w:bookmarkEnd w:id="0"/>
      <w:r w:rsidRPr="00700FFE">
        <w:rPr>
          <w:rFonts w:ascii="Sakkal Majalla" w:hAnsi="Sakkal Majalla" w:cs="Sakkal Majalla"/>
          <w:color w:val="222222"/>
          <w:sz w:val="28"/>
          <w:szCs w:val="28"/>
        </w:rPr>
        <w:t xml:space="preserve">)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 </w:t>
      </w:r>
      <w:r w:rsidR="004B2F92">
        <w:rPr>
          <w:rFonts w:ascii="Sakkal Majalla" w:hAnsi="Sakkal Majalla" w:cs="Sakkal Majalla"/>
          <w:color w:val="222222"/>
          <w:sz w:val="28"/>
          <w:szCs w:val="28"/>
          <w:rtl/>
        </w:rPr>
        <w:t>وإرساله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 إلى </w:t>
      </w:r>
      <w:r w:rsidR="00494007">
        <w:rPr>
          <w:rFonts w:ascii="Sakkal Majalla" w:hAnsi="Sakkal Majalla" w:cs="Sakkal Majalla" w:hint="cs"/>
          <w:color w:val="222222"/>
          <w:sz w:val="28"/>
          <w:szCs w:val="28"/>
          <w:rtl/>
          <w:lang w:bidi="ar-AE"/>
        </w:rPr>
        <w:t>ال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عنوان البريد الإلكتروني</w:t>
      </w:r>
      <w:r w:rsidR="00494007">
        <w:rPr>
          <w:rFonts w:ascii="Sakkal Majalla" w:hAnsi="Sakkal Majalla" w:cs="Sakkal Majalla" w:hint="cs"/>
          <w:color w:val="222222"/>
          <w:sz w:val="28"/>
          <w:szCs w:val="28"/>
          <w:rtl/>
        </w:rPr>
        <w:t xml:space="preserve"> للموظف المعني بإدارة الملف والبريد الإلكتروني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 </w:t>
      </w:r>
      <w:r w:rsidR="004B2F92">
        <w:rPr>
          <w:rFonts w:ascii="Sakkal Majalla" w:hAnsi="Sakkal Majalla" w:cs="Sakkal Majalla"/>
          <w:color w:val="222222"/>
          <w:sz w:val="28"/>
          <w:szCs w:val="28"/>
        </w:rPr>
        <w:t>(ENAS@moiat.gov.ae)</w:t>
      </w:r>
      <w:r w:rsidR="004B2F92">
        <w:rPr>
          <w:rFonts w:ascii="Sakkal Majalla" w:hAnsi="Sakkal Majalla" w:cs="Sakkal Majalla" w:hint="cs"/>
          <w:color w:val="222222"/>
          <w:sz w:val="28"/>
          <w:szCs w:val="28"/>
          <w:rtl/>
          <w:lang w:bidi="ar-AE"/>
        </w:rPr>
        <w:t>.</w:t>
      </w:r>
    </w:p>
    <w:p w14:paraId="659C46C9" w14:textId="77777777" w:rsidR="00700FFE" w:rsidRPr="00494007" w:rsidRDefault="00700FFE" w:rsidP="004B2F92">
      <w:pPr>
        <w:bidi/>
        <w:spacing w:after="0" w:line="240" w:lineRule="auto"/>
        <w:rPr>
          <w:rFonts w:ascii="Sakkal Majalla" w:hAnsi="Sakkal Majalla" w:cs="Sakkal Majalla"/>
          <w:b/>
          <w:bCs/>
          <w:color w:val="222222"/>
          <w:sz w:val="12"/>
          <w:szCs w:val="12"/>
          <w:rtl/>
          <w:lang w:bidi="ar-AE"/>
        </w:rPr>
      </w:pPr>
    </w:p>
    <w:p w14:paraId="37547C24" w14:textId="77777777" w:rsidR="00700FFE" w:rsidRPr="00700FFE" w:rsidRDefault="00700FFE" w:rsidP="00494007">
      <w:pPr>
        <w:bidi/>
        <w:spacing w:after="0" w:line="240" w:lineRule="auto"/>
        <w:rPr>
          <w:rFonts w:ascii="Sakkal Majalla" w:hAnsi="Sakkal Majalla" w:cs="Sakkal Majalla"/>
          <w:color w:val="222222"/>
          <w:sz w:val="28"/>
          <w:szCs w:val="28"/>
          <w:rtl/>
        </w:rPr>
      </w:pPr>
      <w:r w:rsidRPr="00700FFE">
        <w:rPr>
          <w:rFonts w:ascii="Sakkal Majalla" w:hAnsi="Sakkal Majalla" w:cs="Sakkal Majalla"/>
          <w:b/>
          <w:bCs/>
          <w:color w:val="222222"/>
          <w:sz w:val="28"/>
          <w:szCs w:val="28"/>
          <w:rtl/>
          <w:lang w:bidi="ar-AE"/>
        </w:rPr>
        <w:t>الحالات التي يتم فيها تقديم طلبات التظلم:</w:t>
      </w:r>
    </w:p>
    <w:p w14:paraId="3F2B32DE" w14:textId="77777777" w:rsidR="00700FFE" w:rsidRPr="00700FFE" w:rsidRDefault="00700FFE" w:rsidP="0092489F">
      <w:pPr>
        <w:pStyle w:val="ListParagraph"/>
        <w:numPr>
          <w:ilvl w:val="0"/>
          <w:numId w:val="10"/>
        </w:numPr>
        <w:bidi/>
        <w:spacing w:after="0" w:line="240" w:lineRule="auto"/>
        <w:contextualSpacing w:val="0"/>
        <w:rPr>
          <w:rFonts w:ascii="Sakkal Majalla" w:hAnsi="Sakkal Majalla" w:cs="Sakkal Majalla"/>
          <w:b/>
          <w:bCs/>
          <w:color w:val="222222"/>
          <w:sz w:val="28"/>
          <w:szCs w:val="28"/>
          <w:lang w:bidi="ar-AE"/>
        </w:rPr>
      </w:pP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رفض قبول طلب الاعتماد </w:t>
      </w:r>
    </w:p>
    <w:p w14:paraId="774B348E" w14:textId="77777777" w:rsidR="00700FFE" w:rsidRPr="00700FFE" w:rsidRDefault="00700FFE" w:rsidP="0092489F">
      <w:pPr>
        <w:pStyle w:val="ListParagraph"/>
        <w:numPr>
          <w:ilvl w:val="0"/>
          <w:numId w:val="10"/>
        </w:numPr>
        <w:bidi/>
        <w:spacing w:after="0" w:line="240" w:lineRule="auto"/>
        <w:contextualSpacing w:val="0"/>
        <w:rPr>
          <w:rFonts w:ascii="Sakkal Majalla" w:hAnsi="Sakkal Majalla" w:cs="Sakkal Majalla"/>
          <w:b/>
          <w:bCs/>
          <w:color w:val="222222"/>
          <w:sz w:val="28"/>
          <w:szCs w:val="28"/>
          <w:lang w:bidi="ar-AE"/>
        </w:rPr>
      </w:pP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رفض اتمام عملية التقييم </w:t>
      </w:r>
    </w:p>
    <w:p w14:paraId="1B2C177C" w14:textId="77777777" w:rsidR="00700FFE" w:rsidRPr="00700FFE" w:rsidRDefault="00700FFE" w:rsidP="0092489F">
      <w:pPr>
        <w:pStyle w:val="ListParagraph"/>
        <w:numPr>
          <w:ilvl w:val="0"/>
          <w:numId w:val="10"/>
        </w:numPr>
        <w:bidi/>
        <w:spacing w:after="0" w:line="240" w:lineRule="auto"/>
        <w:contextualSpacing w:val="0"/>
        <w:rPr>
          <w:rFonts w:ascii="Sakkal Majalla" w:hAnsi="Sakkal Majalla" w:cs="Sakkal Majalla"/>
          <w:b/>
          <w:bCs/>
          <w:color w:val="222222"/>
          <w:sz w:val="28"/>
          <w:szCs w:val="28"/>
          <w:lang w:bidi="ar-AE"/>
        </w:rPr>
      </w:pP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طلبات الإجراءات التصحيحية </w:t>
      </w:r>
    </w:p>
    <w:p w14:paraId="058DB91B" w14:textId="77777777" w:rsidR="00700FFE" w:rsidRPr="00700FFE" w:rsidRDefault="00700FFE" w:rsidP="0092489F">
      <w:pPr>
        <w:pStyle w:val="ListParagraph"/>
        <w:numPr>
          <w:ilvl w:val="0"/>
          <w:numId w:val="10"/>
        </w:numPr>
        <w:bidi/>
        <w:spacing w:after="0" w:line="240" w:lineRule="auto"/>
        <w:contextualSpacing w:val="0"/>
        <w:rPr>
          <w:rFonts w:ascii="Sakkal Majalla" w:hAnsi="Sakkal Majalla" w:cs="Sakkal Majalla"/>
          <w:b/>
          <w:bCs/>
          <w:color w:val="222222"/>
          <w:sz w:val="28"/>
          <w:szCs w:val="28"/>
          <w:lang w:bidi="ar-AE"/>
        </w:rPr>
      </w:pPr>
      <w:r w:rsidRPr="00700FFE">
        <w:rPr>
          <w:rFonts w:ascii="Sakkal Majalla" w:hAnsi="Sakkal Majalla" w:cs="Sakkal Majalla"/>
          <w:color w:val="222222"/>
          <w:sz w:val="28"/>
          <w:szCs w:val="28"/>
        </w:rPr>
        <w:t xml:space="preserve">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التغييرات في المجال المعتمد </w:t>
      </w:r>
    </w:p>
    <w:p w14:paraId="2902F81B" w14:textId="77777777" w:rsidR="00700FFE" w:rsidRPr="00700FFE" w:rsidRDefault="00700FFE" w:rsidP="0092489F">
      <w:pPr>
        <w:pStyle w:val="ListParagraph"/>
        <w:numPr>
          <w:ilvl w:val="0"/>
          <w:numId w:val="10"/>
        </w:numPr>
        <w:bidi/>
        <w:spacing w:after="0" w:line="240" w:lineRule="auto"/>
        <w:contextualSpacing w:val="0"/>
        <w:rPr>
          <w:rFonts w:ascii="Sakkal Majalla" w:hAnsi="Sakkal Majalla" w:cs="Sakkal Majalla"/>
          <w:b/>
          <w:bCs/>
          <w:color w:val="222222"/>
          <w:sz w:val="28"/>
          <w:szCs w:val="28"/>
          <w:lang w:bidi="ar-AE"/>
        </w:rPr>
      </w:pPr>
      <w:r w:rsidRPr="00700FFE">
        <w:rPr>
          <w:rFonts w:ascii="Sakkal Majalla" w:hAnsi="Sakkal Majalla" w:cs="Sakkal Majalla"/>
          <w:color w:val="222222"/>
          <w:sz w:val="28"/>
          <w:szCs w:val="28"/>
        </w:rPr>
        <w:t xml:space="preserve">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قرارات رفض أو تعليق أو سحب الاعتماد</w:t>
      </w:r>
    </w:p>
    <w:p w14:paraId="71F4FF98" w14:textId="77777777" w:rsidR="00700FFE" w:rsidRPr="00700FFE" w:rsidRDefault="00700FFE" w:rsidP="0092489F">
      <w:pPr>
        <w:pStyle w:val="ListParagraph"/>
        <w:numPr>
          <w:ilvl w:val="0"/>
          <w:numId w:val="10"/>
        </w:numPr>
        <w:bidi/>
        <w:spacing w:after="0" w:line="240" w:lineRule="auto"/>
        <w:contextualSpacing w:val="0"/>
        <w:rPr>
          <w:rFonts w:ascii="Sakkal Majalla" w:hAnsi="Sakkal Majalla" w:cs="Sakkal Majalla"/>
          <w:b/>
          <w:bCs/>
          <w:color w:val="222222"/>
          <w:sz w:val="28"/>
          <w:szCs w:val="28"/>
          <w:rtl/>
          <w:lang w:bidi="ar-AE"/>
        </w:rPr>
      </w:pP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أي إجراء آخر يمنع اتمام عملية الاعتماد</w:t>
      </w:r>
    </w:p>
    <w:p w14:paraId="7FBF3FAF" w14:textId="77777777" w:rsidR="00494007" w:rsidRDefault="00494007" w:rsidP="00494007">
      <w:pPr>
        <w:bidi/>
        <w:spacing w:after="0" w:line="240" w:lineRule="auto"/>
        <w:rPr>
          <w:rFonts w:ascii="Sakkal Majalla" w:hAnsi="Sakkal Majalla" w:cs="Sakkal Majalla"/>
          <w:b/>
          <w:bCs/>
          <w:color w:val="222222"/>
          <w:sz w:val="28"/>
          <w:szCs w:val="28"/>
          <w:rtl/>
          <w:lang w:bidi="ar-AE"/>
        </w:rPr>
      </w:pPr>
    </w:p>
    <w:p w14:paraId="67AE8367" w14:textId="77777777" w:rsidR="0092489F" w:rsidRDefault="00700FFE" w:rsidP="0092489F">
      <w:pPr>
        <w:bidi/>
        <w:spacing w:after="0" w:line="240" w:lineRule="auto"/>
        <w:rPr>
          <w:rFonts w:ascii="Sakkal Majalla" w:hAnsi="Sakkal Majalla" w:cs="Sakkal Majalla"/>
          <w:b/>
          <w:bCs/>
          <w:color w:val="222222"/>
          <w:sz w:val="28"/>
          <w:szCs w:val="28"/>
          <w:rtl/>
          <w:lang w:bidi="ar-AE"/>
        </w:rPr>
      </w:pPr>
      <w:r w:rsidRPr="00700FFE">
        <w:rPr>
          <w:rFonts w:ascii="Sakkal Majalla" w:hAnsi="Sakkal Majalla" w:cs="Sakkal Majalla"/>
          <w:b/>
          <w:bCs/>
          <w:color w:val="222222"/>
          <w:sz w:val="28"/>
          <w:szCs w:val="28"/>
          <w:rtl/>
          <w:lang w:bidi="ar-AE"/>
        </w:rPr>
        <w:t>المدة الزمنية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t>: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br/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سوف تقوم ايناس بالابلاغ عن استلام طلب التظلم خلال (2) يوم عمل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br/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يتم البت في طلب التظلم خلال (30) يوماً من تاريخ </w:t>
      </w:r>
      <w:r w:rsidR="0092489F">
        <w:rPr>
          <w:rFonts w:ascii="Sakkal Majalla" w:hAnsi="Sakkal Majalla" w:cs="Sakkal Majalla" w:hint="cs"/>
          <w:color w:val="222222"/>
          <w:sz w:val="28"/>
          <w:szCs w:val="28"/>
          <w:rtl/>
          <w:lang w:bidi="ar-AE"/>
        </w:rPr>
        <w:t>تأكيد الاستلام.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br/>
      </w:r>
    </w:p>
    <w:p w14:paraId="5EFE579D" w14:textId="32725834" w:rsidR="00700FFE" w:rsidRPr="00700FFE" w:rsidRDefault="00700FFE" w:rsidP="0092489F">
      <w:pPr>
        <w:bidi/>
        <w:spacing w:after="0" w:line="240" w:lineRule="auto"/>
        <w:rPr>
          <w:rFonts w:ascii="Sakkal Majalla" w:hAnsi="Sakkal Majalla" w:cs="Sakkal Majalla"/>
          <w:color w:val="222222"/>
          <w:sz w:val="28"/>
          <w:szCs w:val="28"/>
          <w:rtl/>
        </w:rPr>
      </w:pPr>
      <w:r w:rsidRPr="00700FFE">
        <w:rPr>
          <w:rFonts w:ascii="Sakkal Majalla" w:hAnsi="Sakkal Majalla" w:cs="Sakkal Majalla"/>
          <w:b/>
          <w:bCs/>
          <w:color w:val="222222"/>
          <w:sz w:val="28"/>
          <w:szCs w:val="28"/>
          <w:rtl/>
          <w:lang w:bidi="ar-AE"/>
        </w:rPr>
        <w:lastRenderedPageBreak/>
        <w:t>ملاحظات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t>:</w:t>
      </w:r>
    </w:p>
    <w:p w14:paraId="5E74035E" w14:textId="77777777" w:rsidR="00700FFE" w:rsidRPr="00700FFE" w:rsidRDefault="00700FFE" w:rsidP="00494007">
      <w:pPr>
        <w:pStyle w:val="ListParagraph"/>
        <w:numPr>
          <w:ilvl w:val="0"/>
          <w:numId w:val="9"/>
        </w:numPr>
        <w:bidi/>
        <w:spacing w:after="0" w:line="240" w:lineRule="auto"/>
        <w:contextualSpacing w:val="0"/>
        <w:rPr>
          <w:rFonts w:ascii="Sakkal Majalla" w:eastAsia="Times New Roman" w:hAnsi="Sakkal Majalla" w:cs="Sakkal Majalla"/>
          <w:color w:val="222222"/>
          <w:sz w:val="28"/>
          <w:szCs w:val="28"/>
        </w:rPr>
      </w:pP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القرار الصادر من لجنة التظلم نهائي وملزم</w:t>
      </w:r>
    </w:p>
    <w:p w14:paraId="23B2051E" w14:textId="0ECEB950" w:rsidR="00700FFE" w:rsidRPr="00700FFE" w:rsidRDefault="00700FFE" w:rsidP="00494007">
      <w:pPr>
        <w:pStyle w:val="ListParagraph"/>
        <w:numPr>
          <w:ilvl w:val="0"/>
          <w:numId w:val="9"/>
        </w:numPr>
        <w:bidi/>
        <w:spacing w:after="0" w:line="240" w:lineRule="auto"/>
        <w:contextualSpacing w:val="0"/>
        <w:rPr>
          <w:rFonts w:ascii="Sakkal Majalla" w:eastAsia="Times New Roman" w:hAnsi="Sakkal Majalla" w:cs="Sakkal Majalla"/>
          <w:color w:val="222222"/>
          <w:sz w:val="28"/>
          <w:szCs w:val="28"/>
        </w:rPr>
      </w:pP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>يجوز للمتظلم سحب طلب التظلم في أي وقت خلال العملية، إذا تم سحب الطعن لأي سبب من الأسباب، لن تقبل</w:t>
      </w:r>
      <w:r w:rsidRPr="00700FFE">
        <w:rPr>
          <w:rFonts w:ascii="Sakkal Majalla" w:hAnsi="Sakkal Majalla" w:cs="Sakkal Majalla"/>
          <w:color w:val="222222"/>
          <w:sz w:val="28"/>
          <w:szCs w:val="28"/>
        </w:rPr>
        <w:t xml:space="preserve"> </w:t>
      </w:r>
      <w:r w:rsidRPr="00700FFE">
        <w:rPr>
          <w:rFonts w:ascii="Sakkal Majalla" w:hAnsi="Sakkal Majalla" w:cs="Sakkal Majalla"/>
          <w:color w:val="222222"/>
          <w:sz w:val="28"/>
          <w:szCs w:val="28"/>
          <w:rtl/>
        </w:rPr>
        <w:t xml:space="preserve"> ايناس اي طلب تظلم مستقبلا لنفس الأسباب</w:t>
      </w:r>
      <w:r w:rsidR="00494007">
        <w:rPr>
          <w:rFonts w:ascii="Sakkal Majalla" w:hAnsi="Sakkal Majalla" w:cs="Sakkal Majalla" w:hint="cs"/>
          <w:color w:val="222222"/>
          <w:sz w:val="28"/>
          <w:szCs w:val="28"/>
          <w:rtl/>
        </w:rPr>
        <w:t>.</w:t>
      </w:r>
    </w:p>
    <w:p w14:paraId="10350A4A" w14:textId="77777777" w:rsidR="00700FFE" w:rsidRPr="00741A28" w:rsidRDefault="00700FFE" w:rsidP="004B2F92">
      <w:pPr>
        <w:spacing w:after="0" w:line="240" w:lineRule="auto"/>
      </w:pPr>
    </w:p>
    <w:sectPr w:rsidR="00700FFE" w:rsidRPr="00741A28" w:rsidSect="0049400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3ED5" w14:textId="77777777" w:rsidR="00321AF9" w:rsidRDefault="00321AF9" w:rsidP="00494007">
      <w:pPr>
        <w:spacing w:after="0" w:line="240" w:lineRule="auto"/>
      </w:pPr>
      <w:r>
        <w:separator/>
      </w:r>
    </w:p>
  </w:endnote>
  <w:endnote w:type="continuationSeparator" w:id="0">
    <w:p w14:paraId="536F5703" w14:textId="77777777" w:rsidR="00321AF9" w:rsidRDefault="00321AF9" w:rsidP="0049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E6DBC" w14:textId="77777777" w:rsidR="00321AF9" w:rsidRDefault="00321AF9" w:rsidP="00494007">
      <w:pPr>
        <w:spacing w:after="0" w:line="240" w:lineRule="auto"/>
      </w:pPr>
      <w:r>
        <w:separator/>
      </w:r>
    </w:p>
  </w:footnote>
  <w:footnote w:type="continuationSeparator" w:id="0">
    <w:p w14:paraId="10ACD28B" w14:textId="77777777" w:rsidR="00321AF9" w:rsidRDefault="00321AF9" w:rsidP="0049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F5A"/>
    <w:multiLevelType w:val="hybridMultilevel"/>
    <w:tmpl w:val="F55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975"/>
    <w:multiLevelType w:val="multilevel"/>
    <w:tmpl w:val="11AC3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54127E"/>
    <w:multiLevelType w:val="hybridMultilevel"/>
    <w:tmpl w:val="4A24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4085"/>
    <w:multiLevelType w:val="hybridMultilevel"/>
    <w:tmpl w:val="038698C0"/>
    <w:lvl w:ilvl="0" w:tplc="F440E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8280C"/>
    <w:multiLevelType w:val="hybridMultilevel"/>
    <w:tmpl w:val="21DC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25DC"/>
    <w:multiLevelType w:val="hybridMultilevel"/>
    <w:tmpl w:val="2498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A4C50"/>
    <w:multiLevelType w:val="hybridMultilevel"/>
    <w:tmpl w:val="DF740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34D0D"/>
    <w:multiLevelType w:val="hybridMultilevel"/>
    <w:tmpl w:val="873C86EC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28979EB"/>
    <w:multiLevelType w:val="multilevel"/>
    <w:tmpl w:val="ECA06F70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u w:val="none"/>
      </w:rPr>
    </w:lvl>
  </w:abstractNum>
  <w:abstractNum w:abstractNumId="9" w15:restartNumberingAfterBreak="0">
    <w:nsid w:val="6A191A87"/>
    <w:multiLevelType w:val="hybridMultilevel"/>
    <w:tmpl w:val="E31E9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2"/>
    <w:rsid w:val="00006D5F"/>
    <w:rsid w:val="000235D9"/>
    <w:rsid w:val="000C2556"/>
    <w:rsid w:val="000E41CE"/>
    <w:rsid w:val="000E7185"/>
    <w:rsid w:val="000F3E32"/>
    <w:rsid w:val="001149D9"/>
    <w:rsid w:val="00115D93"/>
    <w:rsid w:val="00121487"/>
    <w:rsid w:val="00184726"/>
    <w:rsid w:val="001E560B"/>
    <w:rsid w:val="001F50D2"/>
    <w:rsid w:val="0023506E"/>
    <w:rsid w:val="00260759"/>
    <w:rsid w:val="002637DB"/>
    <w:rsid w:val="00290C9A"/>
    <w:rsid w:val="002B3C1C"/>
    <w:rsid w:val="002D2BA1"/>
    <w:rsid w:val="002D6DBB"/>
    <w:rsid w:val="00303D4B"/>
    <w:rsid w:val="00321AF9"/>
    <w:rsid w:val="00324127"/>
    <w:rsid w:val="00345E7B"/>
    <w:rsid w:val="00346ED0"/>
    <w:rsid w:val="0037351B"/>
    <w:rsid w:val="00462A59"/>
    <w:rsid w:val="00494007"/>
    <w:rsid w:val="004B2F92"/>
    <w:rsid w:val="004B3032"/>
    <w:rsid w:val="004C4669"/>
    <w:rsid w:val="005075BB"/>
    <w:rsid w:val="00514F31"/>
    <w:rsid w:val="00541E39"/>
    <w:rsid w:val="005658AC"/>
    <w:rsid w:val="005C09CC"/>
    <w:rsid w:val="005C17F5"/>
    <w:rsid w:val="0063558A"/>
    <w:rsid w:val="00641666"/>
    <w:rsid w:val="006B5ADC"/>
    <w:rsid w:val="00700FFE"/>
    <w:rsid w:val="00706398"/>
    <w:rsid w:val="00741A28"/>
    <w:rsid w:val="0079404D"/>
    <w:rsid w:val="007D51BC"/>
    <w:rsid w:val="007E11F9"/>
    <w:rsid w:val="008E1712"/>
    <w:rsid w:val="0092489F"/>
    <w:rsid w:val="009654B7"/>
    <w:rsid w:val="009A40D4"/>
    <w:rsid w:val="009A6F5E"/>
    <w:rsid w:val="009B7EF9"/>
    <w:rsid w:val="00A43958"/>
    <w:rsid w:val="00A5414B"/>
    <w:rsid w:val="00A94145"/>
    <w:rsid w:val="00C04252"/>
    <w:rsid w:val="00C051CD"/>
    <w:rsid w:val="00C20066"/>
    <w:rsid w:val="00C267CE"/>
    <w:rsid w:val="00C6039B"/>
    <w:rsid w:val="00CB5AF3"/>
    <w:rsid w:val="00D31668"/>
    <w:rsid w:val="00D505DA"/>
    <w:rsid w:val="00D669C9"/>
    <w:rsid w:val="00E30C40"/>
    <w:rsid w:val="00E7614D"/>
    <w:rsid w:val="00F3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FE680"/>
  <w15:chartTrackingRefBased/>
  <w15:docId w15:val="{78013714-A995-4303-AC20-041EA33B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6ED0"/>
    <w:rPr>
      <w:b/>
      <w:bCs/>
    </w:rPr>
  </w:style>
  <w:style w:type="character" w:styleId="Hyperlink">
    <w:name w:val="Hyperlink"/>
    <w:basedOn w:val="DefaultParagraphFont"/>
    <w:uiPriority w:val="99"/>
    <w:unhideWhenUsed/>
    <w:rsid w:val="00346ED0"/>
    <w:rPr>
      <w:color w:val="0000FF"/>
      <w:u w:val="single"/>
    </w:rPr>
  </w:style>
  <w:style w:type="table" w:styleId="TableGrid">
    <w:name w:val="Table Grid"/>
    <w:basedOn w:val="TableNormal"/>
    <w:uiPriority w:val="39"/>
    <w:rsid w:val="0063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0D4"/>
    <w:rPr>
      <w:b/>
      <w:bCs/>
      <w:sz w:val="20"/>
      <w:szCs w:val="20"/>
    </w:rPr>
  </w:style>
  <w:style w:type="paragraph" w:customStyle="1" w:styleId="Default">
    <w:name w:val="Default"/>
    <w:rsid w:val="00C200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41A28"/>
    <w:pPr>
      <w:spacing w:after="120" w:line="276" w:lineRule="auto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1A2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9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07"/>
  </w:style>
  <w:style w:type="paragraph" w:styleId="Footer">
    <w:name w:val="footer"/>
    <w:basedOn w:val="Normal"/>
    <w:link w:val="FooterChar"/>
    <w:uiPriority w:val="99"/>
    <w:unhideWhenUsed/>
    <w:rsid w:val="0049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AS@moiat.gov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Qasim Khaleel زينب قاسم خليل</dc:creator>
  <cp:keywords/>
  <dc:description/>
  <cp:lastModifiedBy>Reem Barhoumeh ريم برهومه</cp:lastModifiedBy>
  <cp:revision>7</cp:revision>
  <dcterms:created xsi:type="dcterms:W3CDTF">2021-10-04T11:45:00Z</dcterms:created>
  <dcterms:modified xsi:type="dcterms:W3CDTF">2021-10-04T12:57:00Z</dcterms:modified>
</cp:coreProperties>
</file>